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3F" w:rsidRPr="00CB013F" w:rsidRDefault="00CB013F" w:rsidP="00CB013F">
      <w:pPr>
        <w:widowControl/>
        <w:shd w:val="clear" w:color="auto" w:fill="FFFFFF"/>
        <w:spacing w:line="578" w:lineRule="atLeast"/>
        <w:ind w:right="628" w:firstLine="868"/>
        <w:jc w:val="center"/>
        <w:rPr>
          <w:rFonts w:ascii="Arial" w:eastAsia="宋体" w:hAnsi="Arial" w:cs="Arial"/>
          <w:b/>
          <w:color w:val="3C3C3C"/>
          <w:kern w:val="0"/>
          <w:szCs w:val="21"/>
        </w:rPr>
      </w:pPr>
      <w:r w:rsidRPr="00CB013F">
        <w:rPr>
          <w:rFonts w:ascii="方正小标宋简体" w:eastAsia="方正小标宋简体" w:hAnsi="Arial" w:cs="Arial" w:hint="eastAsia"/>
          <w:b/>
          <w:color w:val="3C3C3C"/>
          <w:kern w:val="0"/>
          <w:sz w:val="27"/>
          <w:szCs w:val="27"/>
        </w:rPr>
        <w:t>南京航空航天大学校内场馆对外借用审批管理规定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1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3C3C3C"/>
          <w:kern w:val="0"/>
          <w:szCs w:val="21"/>
        </w:rPr>
        <w:t>第一条</w:t>
      </w:r>
      <w:r w:rsidRPr="00CB013F">
        <w:rPr>
          <w:rFonts w:ascii="Times New Roman" w:eastAsia="宋体" w:hAnsi="Times New Roman" w:cs="Times New Roman"/>
          <w:color w:val="3C3C3C"/>
          <w:kern w:val="0"/>
          <w:szCs w:val="21"/>
        </w:rPr>
        <w:t>  </w:t>
      </w:r>
      <w:r w:rsidRPr="00CB013F">
        <w:rPr>
          <w:rFonts w:ascii="仿宋_GB2312" w:eastAsia="仿宋_GB2312" w:hAnsi="Arial" w:cs="Arial"/>
          <w:color w:val="3C3C3C"/>
          <w:kern w:val="0"/>
          <w:szCs w:val="21"/>
        </w:rPr>
        <w:t>为加强校内场馆对校外单位借用的审批管理，维护学校正常的教学、科研、生活秩序，</w:t>
      </w:r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特制定本规定。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1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000000"/>
          <w:kern w:val="0"/>
          <w:szCs w:val="21"/>
        </w:rPr>
        <w:t>第二条</w:t>
      </w:r>
      <w:r w:rsidRPr="00CB013F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本规定所指校内场馆是由</w:t>
      </w:r>
      <w:proofErr w:type="gramStart"/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校职能</w:t>
      </w:r>
      <w:proofErr w:type="gramEnd"/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部门和直属单位负责管理的各类教室、会议室、报告厅、大学生活动中心以及室内外体育场馆等。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1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000000"/>
          <w:kern w:val="0"/>
          <w:szCs w:val="21"/>
        </w:rPr>
        <w:t>第三条</w:t>
      </w:r>
      <w:r w:rsidRPr="00CB013F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CB013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校内场馆主要用于满足本校师生工作、学习、生活需要，对外借用应以不影响学校教育教学活动和正常生活秩序为前提。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1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000000"/>
          <w:kern w:val="0"/>
          <w:szCs w:val="21"/>
        </w:rPr>
        <w:t>第四条</w:t>
      </w:r>
      <w:r w:rsidRPr="00CB013F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校外单位原则上应为与学校在教学、科研、人才培养等方面存在合作关系的单位，借用时需委托校内合作单位代为办理相关审批手续。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1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000000"/>
          <w:kern w:val="0"/>
          <w:szCs w:val="21"/>
        </w:rPr>
        <w:t>第五条</w:t>
      </w:r>
      <w:r w:rsidRPr="00CB013F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校外单位在校内举办的各类活动不得违反国家宪法、法律以及学校各项规定，不得干扰学校的教学、科研和生活秩序，不得有损学校的形象和声誉。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1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000000"/>
          <w:kern w:val="0"/>
          <w:szCs w:val="21"/>
        </w:rPr>
        <w:t>第六条</w:t>
      </w:r>
      <w:r w:rsidRPr="00CB013F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CB013F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校内合作单位会同场馆提供单位、保卫处对借用单位的资质、活动目的、活动性质、活动时间、安保措施等进行严格审查，签订安全承诺，再行代为办理相关审批手续。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1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000000"/>
          <w:kern w:val="0"/>
          <w:szCs w:val="21"/>
        </w:rPr>
        <w:t>第七条</w:t>
      </w:r>
      <w:r w:rsidRPr="00CB013F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  <w:r w:rsidRPr="00CB013F">
        <w:rPr>
          <w:rFonts w:ascii="仿宋_GB2312" w:eastAsia="仿宋_GB2312" w:hAnsi="Arial" w:cs="Arial"/>
          <w:color w:val="000000"/>
          <w:kern w:val="0"/>
          <w:szCs w:val="21"/>
        </w:rPr>
        <w:t>活动审批后，不得变更单位名称、活动时间、地点、内容和规模等，确需变更的须重新办理审批手续。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45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3C3C3C"/>
          <w:kern w:val="0"/>
          <w:szCs w:val="21"/>
        </w:rPr>
        <w:t>第八条</w:t>
      </w:r>
      <w:r w:rsidRPr="00CB013F">
        <w:rPr>
          <w:rFonts w:ascii="Times New Roman" w:eastAsia="宋体" w:hAnsi="Times New Roman" w:cs="Times New Roman"/>
          <w:b/>
          <w:bCs/>
          <w:color w:val="3C3C3C"/>
          <w:kern w:val="0"/>
          <w:szCs w:val="21"/>
        </w:rPr>
        <w:t> </w:t>
      </w:r>
      <w:r w:rsidRPr="00CB013F">
        <w:rPr>
          <w:rFonts w:ascii="Times New Roman" w:eastAsia="宋体" w:hAnsi="Times New Roman" w:cs="Times New Roman"/>
          <w:color w:val="3C3C3C"/>
          <w:kern w:val="0"/>
          <w:szCs w:val="21"/>
        </w:rPr>
        <w:t> </w:t>
      </w:r>
      <w:r w:rsidRPr="00CB013F">
        <w:rPr>
          <w:rFonts w:ascii="仿宋_GB2312" w:eastAsia="仿宋_GB2312" w:hAnsi="Arial" w:cs="Arial"/>
          <w:color w:val="3C3C3C"/>
          <w:kern w:val="0"/>
          <w:szCs w:val="21"/>
        </w:rPr>
        <w:t>校外单位借用将军路校区内各类场馆，由将军路校区管委会按本规定办理相关手续。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0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3C3C3C"/>
          <w:kern w:val="0"/>
          <w:szCs w:val="21"/>
        </w:rPr>
        <w:t>第九条</w:t>
      </w:r>
      <w:r w:rsidRPr="00CB013F">
        <w:rPr>
          <w:rFonts w:ascii="Times New Roman" w:eastAsia="宋体" w:hAnsi="Times New Roman" w:cs="Times New Roman"/>
          <w:color w:val="3C3C3C"/>
          <w:kern w:val="0"/>
          <w:szCs w:val="21"/>
        </w:rPr>
        <w:t>  </w:t>
      </w:r>
      <w:r w:rsidRPr="00CB013F">
        <w:rPr>
          <w:rFonts w:ascii="仿宋_GB2312" w:eastAsia="仿宋_GB2312" w:hAnsi="Arial" w:cs="Arial"/>
          <w:color w:val="3C3C3C"/>
          <w:kern w:val="0"/>
          <w:szCs w:val="21"/>
        </w:rPr>
        <w:t>对违反上述规定的单位或个人，学校将严肃追究相关人员责任。</w:t>
      </w:r>
    </w:p>
    <w:p w:rsidR="00CB013F" w:rsidRPr="00CB013F" w:rsidRDefault="00CB013F" w:rsidP="00CB013F">
      <w:pPr>
        <w:widowControl/>
        <w:shd w:val="clear" w:color="auto" w:fill="FFFFFF"/>
        <w:spacing w:line="578" w:lineRule="atLeast"/>
        <w:ind w:firstLine="630"/>
        <w:jc w:val="lef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仿宋_GB2312" w:eastAsia="仿宋_GB2312" w:hAnsi="Arial" w:cs="Arial"/>
          <w:b/>
          <w:bCs/>
          <w:color w:val="3C3C3C"/>
          <w:kern w:val="0"/>
          <w:szCs w:val="21"/>
        </w:rPr>
        <w:t>第十条</w:t>
      </w:r>
      <w:r w:rsidRPr="00CB013F">
        <w:rPr>
          <w:rFonts w:ascii="Times New Roman" w:eastAsia="宋体" w:hAnsi="Times New Roman" w:cs="Times New Roman"/>
          <w:color w:val="3C3C3C"/>
          <w:kern w:val="0"/>
          <w:szCs w:val="21"/>
        </w:rPr>
        <w:t>  </w:t>
      </w:r>
      <w:r w:rsidRPr="00CB013F">
        <w:rPr>
          <w:rFonts w:ascii="仿宋_GB2312" w:eastAsia="仿宋_GB2312" w:hAnsi="Arial" w:cs="Arial"/>
          <w:color w:val="3C3C3C"/>
          <w:kern w:val="0"/>
          <w:szCs w:val="21"/>
        </w:rPr>
        <w:t>本规定自发布之日起开始实施，由党政办公室负责解释。</w:t>
      </w:r>
    </w:p>
    <w:p w:rsidR="00CB013F" w:rsidRPr="00CB013F" w:rsidRDefault="00F86154" w:rsidP="00F86154">
      <w:pPr>
        <w:widowControl/>
        <w:shd w:val="clear" w:color="auto" w:fill="FFFFFF"/>
        <w:wordWrap w:val="0"/>
        <w:spacing w:after="120"/>
        <w:jc w:val="right"/>
        <w:rPr>
          <w:rFonts w:ascii="Arial" w:eastAsia="宋体" w:hAnsi="Arial" w:cs="Arial"/>
          <w:color w:val="3C3C3C"/>
          <w:kern w:val="0"/>
          <w:szCs w:val="21"/>
        </w:rPr>
      </w:pPr>
      <w:r>
        <w:rPr>
          <w:rFonts w:ascii="仿宋_GB2312" w:eastAsia="仿宋_GB2312" w:hAnsi="Arial" w:cs="Arial"/>
          <w:color w:val="3C3C3C"/>
          <w:kern w:val="0"/>
          <w:sz w:val="28"/>
          <w:szCs w:val="28"/>
        </w:rPr>
        <w:t>                         </w:t>
      </w:r>
      <w:r w:rsidR="00CB013F" w:rsidRPr="00CB013F">
        <w:rPr>
          <w:rFonts w:ascii="仿宋_GB2312" w:eastAsia="仿宋_GB2312" w:hAnsi="Arial" w:cs="Arial"/>
          <w:color w:val="3C3C3C"/>
          <w:kern w:val="0"/>
          <w:sz w:val="28"/>
          <w:szCs w:val="28"/>
        </w:rPr>
        <w:t>      </w:t>
      </w:r>
      <w:r w:rsidR="00CB013F" w:rsidRPr="00CB013F">
        <w:rPr>
          <w:rFonts w:ascii="仿宋_GB2312" w:eastAsia="仿宋_GB2312" w:hAnsi="Arial" w:cs="Arial"/>
          <w:color w:val="3C3C3C"/>
          <w:kern w:val="0"/>
          <w:sz w:val="28"/>
          <w:szCs w:val="28"/>
        </w:rPr>
        <w:t xml:space="preserve"> </w:t>
      </w:r>
      <w:r>
        <w:rPr>
          <w:rFonts w:ascii="仿宋_GB2312" w:eastAsia="仿宋_GB2312" w:hAnsi="Arial" w:cs="Arial"/>
          <w:color w:val="3C3C3C"/>
          <w:kern w:val="0"/>
          <w:sz w:val="28"/>
          <w:szCs w:val="28"/>
        </w:rPr>
        <w:t> </w:t>
      </w:r>
      <w:r w:rsidR="00CB013F" w:rsidRPr="00CB013F">
        <w:rPr>
          <w:rFonts w:ascii="仿宋_GB2312" w:eastAsia="仿宋_GB2312" w:hAnsi="Arial" w:cs="Arial"/>
          <w:color w:val="3C3C3C"/>
          <w:kern w:val="0"/>
          <w:sz w:val="28"/>
          <w:szCs w:val="28"/>
        </w:rPr>
        <w:t>  </w:t>
      </w:r>
      <w:r w:rsidR="00CB013F" w:rsidRPr="00CB013F">
        <w:rPr>
          <w:rFonts w:ascii="仿宋_GB2312" w:eastAsia="仿宋_GB2312" w:hAnsi="Arial" w:cs="Arial"/>
          <w:color w:val="3C3C3C"/>
          <w:kern w:val="0"/>
          <w:sz w:val="24"/>
          <w:szCs w:val="24"/>
        </w:rPr>
        <w:t>党政办公室</w:t>
      </w:r>
      <w:r w:rsidR="00CB013F" w:rsidRPr="00CB013F">
        <w:rPr>
          <w:rFonts w:ascii="Times New Roman" w:eastAsia="宋体" w:hAnsi="Times New Roman" w:cs="Times New Roman"/>
          <w:color w:val="3C3C3C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 w:hint="eastAsia"/>
          <w:color w:val="3C3C3C"/>
          <w:kern w:val="0"/>
          <w:sz w:val="24"/>
          <w:szCs w:val="24"/>
        </w:rPr>
        <w:t xml:space="preserve">      </w:t>
      </w:r>
    </w:p>
    <w:p w:rsidR="00394045" w:rsidRPr="00F86154" w:rsidRDefault="00CB013F" w:rsidP="00F86154">
      <w:pPr>
        <w:widowControl/>
        <w:shd w:val="clear" w:color="auto" w:fill="FFFFFF"/>
        <w:spacing w:after="120"/>
        <w:jc w:val="right"/>
        <w:rPr>
          <w:rFonts w:ascii="Arial" w:eastAsia="宋体" w:hAnsi="Arial" w:cs="Arial"/>
          <w:color w:val="3C3C3C"/>
          <w:kern w:val="0"/>
          <w:szCs w:val="21"/>
        </w:rPr>
      </w:pPr>
      <w:r w:rsidRPr="00CB013F">
        <w:rPr>
          <w:rFonts w:ascii="Times New Roman" w:eastAsia="宋体" w:hAnsi="Times New Roman" w:cs="Times New Roman"/>
          <w:color w:val="3C3C3C"/>
          <w:kern w:val="0"/>
          <w:sz w:val="28"/>
          <w:szCs w:val="28"/>
        </w:rPr>
        <w:t>                                                           </w:t>
      </w:r>
      <w:bookmarkStart w:id="0" w:name="_GoBack"/>
      <w:bookmarkEnd w:id="0"/>
      <w:r w:rsidRPr="00CB013F">
        <w:rPr>
          <w:rFonts w:ascii="Times New Roman" w:eastAsia="宋体" w:hAnsi="Times New Roman" w:cs="Times New Roman"/>
          <w:color w:val="3C3C3C"/>
          <w:kern w:val="0"/>
          <w:sz w:val="28"/>
          <w:szCs w:val="28"/>
        </w:rPr>
        <w:t>                    2014</w:t>
      </w:r>
      <w:r w:rsidRPr="00CB013F">
        <w:rPr>
          <w:rFonts w:ascii="仿宋_GB2312" w:eastAsia="仿宋_GB2312" w:hAnsi="Arial" w:cs="Arial"/>
          <w:color w:val="3C3C3C"/>
          <w:kern w:val="0"/>
          <w:sz w:val="28"/>
          <w:szCs w:val="28"/>
        </w:rPr>
        <w:t>年</w:t>
      </w:r>
      <w:r w:rsidRPr="00CB013F">
        <w:rPr>
          <w:rFonts w:ascii="Times New Roman" w:eastAsia="宋体" w:hAnsi="Times New Roman" w:cs="Times New Roman"/>
          <w:color w:val="3C3C3C"/>
          <w:kern w:val="0"/>
          <w:sz w:val="28"/>
          <w:szCs w:val="28"/>
        </w:rPr>
        <w:t>12</w:t>
      </w:r>
      <w:r w:rsidRPr="00CB013F">
        <w:rPr>
          <w:rFonts w:ascii="仿宋_GB2312" w:eastAsia="仿宋_GB2312" w:hAnsi="Arial" w:cs="Arial"/>
          <w:color w:val="3C3C3C"/>
          <w:kern w:val="0"/>
          <w:sz w:val="28"/>
          <w:szCs w:val="28"/>
        </w:rPr>
        <w:t>月0</w:t>
      </w:r>
      <w:r w:rsidRPr="00CB013F">
        <w:rPr>
          <w:rFonts w:ascii="Times New Roman" w:eastAsia="宋体" w:hAnsi="Times New Roman" w:cs="Times New Roman"/>
          <w:color w:val="3C3C3C"/>
          <w:kern w:val="0"/>
          <w:sz w:val="28"/>
          <w:szCs w:val="28"/>
        </w:rPr>
        <w:t>4</w:t>
      </w:r>
      <w:r w:rsidRPr="00CB013F">
        <w:rPr>
          <w:rFonts w:ascii="仿宋_GB2312" w:eastAsia="仿宋_GB2312" w:hAnsi="Arial" w:cs="Arial"/>
          <w:color w:val="3C3C3C"/>
          <w:kern w:val="0"/>
          <w:sz w:val="28"/>
          <w:szCs w:val="28"/>
        </w:rPr>
        <w:t>日</w:t>
      </w:r>
    </w:p>
    <w:sectPr w:rsidR="00394045" w:rsidRPr="00F8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BE" w:rsidRDefault="007F29BE" w:rsidP="00CB013F">
      <w:r>
        <w:separator/>
      </w:r>
    </w:p>
  </w:endnote>
  <w:endnote w:type="continuationSeparator" w:id="0">
    <w:p w:rsidR="007F29BE" w:rsidRDefault="007F29BE" w:rsidP="00CB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BE" w:rsidRDefault="007F29BE" w:rsidP="00CB013F">
      <w:r>
        <w:separator/>
      </w:r>
    </w:p>
  </w:footnote>
  <w:footnote w:type="continuationSeparator" w:id="0">
    <w:p w:rsidR="007F29BE" w:rsidRDefault="007F29BE" w:rsidP="00CB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CF"/>
    <w:rsid w:val="00394045"/>
    <w:rsid w:val="007F29BE"/>
    <w:rsid w:val="00997C5A"/>
    <w:rsid w:val="00A669CF"/>
    <w:rsid w:val="00CB013F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1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2019-12-24T08:20:00Z</dcterms:created>
  <dcterms:modified xsi:type="dcterms:W3CDTF">2019-12-24T08:22:00Z</dcterms:modified>
</cp:coreProperties>
</file>